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B7" w:rsidRDefault="00CB5D9A" w:rsidP="00D407B7">
      <w:pPr>
        <w:jc w:val="right"/>
        <w:rPr>
          <w:sz w:val="18"/>
          <w:szCs w:val="18"/>
        </w:rPr>
      </w:pPr>
      <w:r>
        <w:rPr>
          <w:sz w:val="18"/>
          <w:szCs w:val="18"/>
        </w:rPr>
        <w:t>Columbus County 2014-2015</w:t>
      </w:r>
    </w:p>
    <w:p w:rsidR="00D407B7" w:rsidRDefault="00D407B7" w:rsidP="00D407B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Holt McDougal Literature:  Common Core Edition</w:t>
      </w:r>
    </w:p>
    <w:p w:rsidR="00D407B7" w:rsidRPr="00D407B7" w:rsidRDefault="00CB5D9A" w:rsidP="00D407B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6</w:t>
      </w:r>
      <w:r w:rsidR="00D407B7" w:rsidRPr="00D407B7">
        <w:rPr>
          <w:sz w:val="32"/>
          <w:szCs w:val="32"/>
          <w:vertAlign w:val="superscript"/>
        </w:rPr>
        <w:t>th</w:t>
      </w:r>
      <w:r w:rsidR="00D407B7">
        <w:rPr>
          <w:sz w:val="32"/>
          <w:szCs w:val="32"/>
        </w:rPr>
        <w:t xml:space="preserve"> Grade Pacing Guide</w:t>
      </w:r>
    </w:p>
    <w:p w:rsidR="00D407B7" w:rsidRDefault="00D407B7" w:rsidP="00D407B7">
      <w:pPr>
        <w:spacing w:after="0"/>
        <w:ind w:left="10800"/>
      </w:pPr>
    </w:p>
    <w:tbl>
      <w:tblPr>
        <w:tblStyle w:val="TableGrid"/>
        <w:tblW w:w="0" w:type="auto"/>
        <w:tblLook w:val="04A0"/>
      </w:tblPr>
      <w:tblGrid>
        <w:gridCol w:w="2436"/>
        <w:gridCol w:w="2436"/>
        <w:gridCol w:w="2346"/>
        <w:gridCol w:w="2610"/>
        <w:gridCol w:w="1350"/>
        <w:gridCol w:w="1002"/>
        <w:gridCol w:w="2436"/>
      </w:tblGrid>
      <w:tr w:rsidR="00CC247C" w:rsidTr="003C13F3">
        <w:tc>
          <w:tcPr>
            <w:tcW w:w="7218" w:type="dxa"/>
            <w:gridSpan w:val="3"/>
          </w:tcPr>
          <w:p w:rsidR="00CC247C" w:rsidRPr="00934663" w:rsidRDefault="00CC247C" w:rsidP="00D407B7">
            <w:pPr>
              <w:jc w:val="both"/>
              <w:rPr>
                <w:sz w:val="24"/>
                <w:szCs w:val="24"/>
              </w:rPr>
            </w:pPr>
            <w:r w:rsidRPr="00996B9A">
              <w:rPr>
                <w:b/>
                <w:sz w:val="24"/>
                <w:szCs w:val="24"/>
              </w:rPr>
              <w:t>Unit/Focus</w:t>
            </w:r>
            <w:r w:rsidRPr="00934663">
              <w:rPr>
                <w:sz w:val="24"/>
                <w:szCs w:val="24"/>
              </w:rPr>
              <w:t xml:space="preserve">: </w:t>
            </w:r>
          </w:p>
          <w:p w:rsidR="00CC247C" w:rsidRPr="00D407B7" w:rsidRDefault="00CC247C" w:rsidP="00CB5D9A">
            <w:pPr>
              <w:jc w:val="both"/>
              <w:rPr>
                <w:sz w:val="28"/>
                <w:szCs w:val="28"/>
              </w:rPr>
            </w:pPr>
            <w:r>
              <w:t xml:space="preserve">                    </w:t>
            </w:r>
            <w:r w:rsidR="003C13F3">
              <w:rPr>
                <w:sz w:val="28"/>
                <w:szCs w:val="28"/>
              </w:rPr>
              <w:t xml:space="preserve">Unit 1:  </w:t>
            </w:r>
            <w:r w:rsidR="00CB5D9A">
              <w:rPr>
                <w:sz w:val="28"/>
                <w:szCs w:val="28"/>
              </w:rPr>
              <w:t>What’s Happening?  P. 25-188</w:t>
            </w:r>
          </w:p>
        </w:tc>
        <w:tc>
          <w:tcPr>
            <w:tcW w:w="3960" w:type="dxa"/>
            <w:gridSpan w:val="2"/>
          </w:tcPr>
          <w:p w:rsidR="00CC247C" w:rsidRDefault="00CC247C" w:rsidP="00D407B7">
            <w:pPr>
              <w:jc w:val="both"/>
              <w:rPr>
                <w:sz w:val="24"/>
                <w:szCs w:val="24"/>
              </w:rPr>
            </w:pPr>
            <w:r w:rsidRPr="00996B9A">
              <w:rPr>
                <w:b/>
                <w:sz w:val="24"/>
                <w:szCs w:val="24"/>
              </w:rPr>
              <w:t>Essential Question</w:t>
            </w:r>
            <w:r w:rsidRPr="00934663">
              <w:rPr>
                <w:sz w:val="24"/>
                <w:szCs w:val="24"/>
              </w:rPr>
              <w:t>:</w:t>
            </w:r>
          </w:p>
          <w:p w:rsidR="00CC247C" w:rsidRPr="00934663" w:rsidRDefault="00CC247C" w:rsidP="003C1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C13F3">
              <w:rPr>
                <w:sz w:val="24"/>
                <w:szCs w:val="24"/>
              </w:rPr>
              <w:t xml:space="preserve">What makes a </w:t>
            </w:r>
            <w:r w:rsidR="00CB5D9A">
              <w:rPr>
                <w:sz w:val="24"/>
                <w:szCs w:val="24"/>
              </w:rPr>
              <w:t>good story</w:t>
            </w:r>
            <w:r w:rsidR="003C13F3">
              <w:rPr>
                <w:sz w:val="24"/>
                <w:szCs w:val="24"/>
              </w:rPr>
              <w:t>?</w:t>
            </w:r>
          </w:p>
        </w:tc>
        <w:tc>
          <w:tcPr>
            <w:tcW w:w="3438" w:type="dxa"/>
            <w:gridSpan w:val="2"/>
          </w:tcPr>
          <w:p w:rsidR="00CC247C" w:rsidRDefault="00996B9A" w:rsidP="00CC247C">
            <w:pPr>
              <w:jc w:val="both"/>
              <w:rPr>
                <w:sz w:val="24"/>
                <w:szCs w:val="24"/>
              </w:rPr>
            </w:pPr>
            <w:r w:rsidRPr="00404B92">
              <w:rPr>
                <w:b/>
                <w:sz w:val="24"/>
                <w:szCs w:val="24"/>
              </w:rPr>
              <w:t>Suggested</w:t>
            </w:r>
            <w:r w:rsidR="00404B92" w:rsidRPr="00404B92">
              <w:rPr>
                <w:b/>
                <w:sz w:val="24"/>
                <w:szCs w:val="24"/>
              </w:rPr>
              <w:t xml:space="preserve"> </w:t>
            </w:r>
            <w:r w:rsidR="00CC247C" w:rsidRPr="00404B92">
              <w:rPr>
                <w:b/>
                <w:sz w:val="24"/>
                <w:szCs w:val="24"/>
              </w:rPr>
              <w:t>Time Frame</w:t>
            </w:r>
            <w:r w:rsidR="00CC247C" w:rsidRPr="00CC247C">
              <w:rPr>
                <w:sz w:val="24"/>
                <w:szCs w:val="24"/>
              </w:rPr>
              <w:t xml:space="preserve">:   </w:t>
            </w:r>
          </w:p>
          <w:p w:rsidR="00CC247C" w:rsidRPr="00CC247C" w:rsidRDefault="00CC247C" w:rsidP="00CC24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CC247C">
              <w:rPr>
                <w:sz w:val="24"/>
                <w:szCs w:val="24"/>
              </w:rPr>
              <w:t xml:space="preserve"> </w:t>
            </w:r>
            <w:r w:rsidR="00CB5D9A">
              <w:rPr>
                <w:sz w:val="24"/>
                <w:szCs w:val="24"/>
              </w:rPr>
              <w:t>Within 1</w:t>
            </w:r>
            <w:r w:rsidR="00CB5D9A" w:rsidRPr="00CB5D9A">
              <w:rPr>
                <w:sz w:val="24"/>
                <w:szCs w:val="24"/>
                <w:vertAlign w:val="superscript"/>
              </w:rPr>
              <w:t>st</w:t>
            </w:r>
            <w:r w:rsidR="00CB5D9A">
              <w:rPr>
                <w:sz w:val="24"/>
                <w:szCs w:val="24"/>
              </w:rPr>
              <w:t xml:space="preserve"> 9 weeks</w:t>
            </w:r>
          </w:p>
        </w:tc>
      </w:tr>
      <w:tr w:rsidR="00D407B7" w:rsidTr="00D407B7">
        <w:tc>
          <w:tcPr>
            <w:tcW w:w="14616" w:type="dxa"/>
            <w:gridSpan w:val="7"/>
          </w:tcPr>
          <w:p w:rsidR="00D407B7" w:rsidRPr="00996B9A" w:rsidRDefault="00934663" w:rsidP="00934663">
            <w:pPr>
              <w:tabs>
                <w:tab w:val="left" w:pos="340"/>
                <w:tab w:val="center" w:pos="720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996B9A">
              <w:rPr>
                <w:b/>
                <w:sz w:val="24"/>
                <w:szCs w:val="24"/>
              </w:rPr>
              <w:t>Focus Standards</w:t>
            </w:r>
          </w:p>
        </w:tc>
      </w:tr>
      <w:tr w:rsidR="0075299E" w:rsidTr="00D50824">
        <w:tc>
          <w:tcPr>
            <w:tcW w:w="2436" w:type="dxa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Reading Literature:</w:t>
            </w:r>
          </w:p>
          <w:p w:rsidR="0075299E" w:rsidRPr="0075299E" w:rsidRDefault="00CB5D9A" w:rsidP="0075299E">
            <w:pPr>
              <w:tabs>
                <w:tab w:val="left" w:pos="340"/>
                <w:tab w:val="center" w:pos="7200"/>
              </w:tabs>
            </w:pPr>
            <w:r>
              <w:t>RL1, RL3,</w:t>
            </w:r>
            <w:r w:rsidR="003C13F3">
              <w:t xml:space="preserve"> </w:t>
            </w:r>
            <w:r>
              <w:t>RL</w:t>
            </w:r>
            <w:r w:rsidR="003C13F3">
              <w:t>5, RL 7</w:t>
            </w:r>
            <w:r w:rsidR="0075299E" w:rsidRPr="0075299E">
              <w:t xml:space="preserve">, </w:t>
            </w:r>
            <w:r>
              <w:t xml:space="preserve">RL9, </w:t>
            </w:r>
            <w:r w:rsidR="0075299E" w:rsidRPr="0075299E">
              <w:t>RL10</w:t>
            </w:r>
            <w:r w:rsidR="0075299E">
              <w:t xml:space="preserve">   </w:t>
            </w:r>
          </w:p>
        </w:tc>
        <w:tc>
          <w:tcPr>
            <w:tcW w:w="2436" w:type="dxa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Reading Informational:</w:t>
            </w:r>
          </w:p>
          <w:p w:rsidR="0075299E" w:rsidRPr="0075299E" w:rsidRDefault="00CB5D9A" w:rsidP="00934663">
            <w:pPr>
              <w:tabs>
                <w:tab w:val="left" w:pos="340"/>
                <w:tab w:val="center" w:pos="7200"/>
              </w:tabs>
            </w:pPr>
            <w:r>
              <w:t>RI1- RI7</w:t>
            </w:r>
            <w:r w:rsidR="00D50824">
              <w:t xml:space="preserve">, </w:t>
            </w:r>
            <w:r w:rsidR="0075299E">
              <w:t>RI</w:t>
            </w:r>
            <w:r>
              <w:t>0</w:t>
            </w:r>
          </w:p>
        </w:tc>
        <w:tc>
          <w:tcPr>
            <w:tcW w:w="2346" w:type="dxa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Writing:</w:t>
            </w:r>
          </w:p>
          <w:p w:rsidR="0075299E" w:rsidRPr="0075299E" w:rsidRDefault="00D50824" w:rsidP="00CB5D9A">
            <w:pPr>
              <w:tabs>
                <w:tab w:val="left" w:pos="340"/>
                <w:tab w:val="center" w:pos="7200"/>
              </w:tabs>
            </w:pPr>
            <w:r>
              <w:t>W1</w:t>
            </w:r>
            <w:r w:rsidR="00CB5D9A">
              <w:t>a-e, W2-W6</w:t>
            </w:r>
            <w:r>
              <w:t>,</w:t>
            </w:r>
            <w:r w:rsidR="00CB5D9A">
              <w:t xml:space="preserve"> W9a,</w:t>
            </w:r>
            <w:r>
              <w:t xml:space="preserve"> W10</w:t>
            </w:r>
          </w:p>
        </w:tc>
        <w:tc>
          <w:tcPr>
            <w:tcW w:w="2610" w:type="dxa"/>
          </w:tcPr>
          <w:p w:rsidR="00D50824" w:rsidRDefault="0075299E" w:rsidP="00D50824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Speaking and Listening</w:t>
            </w:r>
            <w:r w:rsidR="00D50824">
              <w:rPr>
                <w:b/>
                <w:sz w:val="24"/>
                <w:szCs w:val="24"/>
              </w:rPr>
              <w:t>:</w:t>
            </w:r>
          </w:p>
          <w:p w:rsidR="0075299E" w:rsidRPr="000B1807" w:rsidRDefault="0075299E" w:rsidP="00D50824">
            <w:pPr>
              <w:tabs>
                <w:tab w:val="left" w:pos="340"/>
                <w:tab w:val="center" w:pos="7200"/>
              </w:tabs>
              <w:rPr>
                <w:b/>
              </w:rPr>
            </w:pPr>
            <w:r>
              <w:rPr>
                <w:sz w:val="24"/>
                <w:szCs w:val="24"/>
              </w:rPr>
              <w:t xml:space="preserve"> </w:t>
            </w:r>
            <w:r w:rsidR="00CB5D9A" w:rsidRPr="000B1807">
              <w:t xml:space="preserve">SL1a-d, </w:t>
            </w:r>
            <w:r w:rsidRPr="000B1807">
              <w:t>SL2-SL4</w:t>
            </w:r>
          </w:p>
        </w:tc>
        <w:tc>
          <w:tcPr>
            <w:tcW w:w="2352" w:type="dxa"/>
            <w:gridSpan w:val="2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Language</w:t>
            </w:r>
            <w:r w:rsidR="00D50824">
              <w:rPr>
                <w:b/>
                <w:sz w:val="24"/>
                <w:szCs w:val="24"/>
              </w:rPr>
              <w:t>:</w:t>
            </w:r>
          </w:p>
          <w:p w:rsidR="0075299E" w:rsidRPr="000B1807" w:rsidRDefault="00D50824" w:rsidP="0075299E">
            <w:pPr>
              <w:tabs>
                <w:tab w:val="left" w:pos="340"/>
                <w:tab w:val="center" w:pos="7200"/>
              </w:tabs>
            </w:pPr>
            <w:r w:rsidRPr="000B1807">
              <w:t>L1, L1</w:t>
            </w:r>
            <w:r w:rsidR="00CB5D9A" w:rsidRPr="000B1807">
              <w:t>b-c, L2</w:t>
            </w:r>
            <w:r w:rsidRPr="000B1807">
              <w:t>,  L3</w:t>
            </w:r>
            <w:r w:rsidR="00CB5D9A" w:rsidRPr="000B1807">
              <w:t>b</w:t>
            </w:r>
            <w:r w:rsidR="0075299E" w:rsidRPr="000B1807">
              <w:t>,</w:t>
            </w:r>
            <w:r w:rsidR="00CB5D9A" w:rsidRPr="000B1807">
              <w:t xml:space="preserve"> </w:t>
            </w:r>
            <w:r w:rsidR="0075299E" w:rsidRPr="000B1807">
              <w:t xml:space="preserve"> </w:t>
            </w:r>
            <w:r w:rsidR="00CB5D9A" w:rsidRPr="000B1807">
              <w:t>L4</w:t>
            </w:r>
            <w:r w:rsidRPr="000B1807">
              <w:t>b</w:t>
            </w:r>
            <w:r w:rsidR="00CB5D9A" w:rsidRPr="000B1807">
              <w:t>-c</w:t>
            </w:r>
            <w:r w:rsidR="0075299E" w:rsidRPr="000B1807">
              <w:t>,</w:t>
            </w:r>
            <w:r w:rsidR="00CB5D9A" w:rsidRPr="000B1807">
              <w:t xml:space="preserve"> L5,  L5c</w:t>
            </w:r>
            <w:r w:rsidR="0075299E" w:rsidRPr="000B1807">
              <w:t>, L6</w:t>
            </w:r>
          </w:p>
        </w:tc>
        <w:tc>
          <w:tcPr>
            <w:tcW w:w="2436" w:type="dxa"/>
          </w:tcPr>
          <w:p w:rsidR="0075299E" w:rsidRPr="000B5008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b/>
                <w:sz w:val="24"/>
                <w:szCs w:val="24"/>
              </w:rPr>
            </w:pPr>
            <w:r w:rsidRPr="000B5008">
              <w:rPr>
                <w:b/>
                <w:sz w:val="24"/>
                <w:szCs w:val="24"/>
              </w:rPr>
              <w:t>Technology</w:t>
            </w:r>
            <w:r w:rsidR="00D50824">
              <w:rPr>
                <w:b/>
                <w:sz w:val="24"/>
                <w:szCs w:val="24"/>
              </w:rPr>
              <w:t>:</w:t>
            </w:r>
          </w:p>
          <w:p w:rsidR="0075299E" w:rsidRPr="000B1807" w:rsidRDefault="00CB5D9A" w:rsidP="0078430B">
            <w:pPr>
              <w:tabs>
                <w:tab w:val="left" w:pos="340"/>
                <w:tab w:val="center" w:pos="7200"/>
              </w:tabs>
            </w:pPr>
            <w:r w:rsidRPr="000B1807">
              <w:t>6RP1.1, 6RP1.2, 6SE1.1, 6SE1.2, 6TT1.2, 6TT1.3</w:t>
            </w:r>
          </w:p>
          <w:p w:rsidR="0075299E" w:rsidRDefault="0075299E" w:rsidP="0075299E">
            <w:pPr>
              <w:tabs>
                <w:tab w:val="left" w:pos="340"/>
                <w:tab w:val="center" w:pos="7200"/>
              </w:tabs>
              <w:jc w:val="center"/>
              <w:rPr>
                <w:sz w:val="24"/>
                <w:szCs w:val="24"/>
              </w:rPr>
            </w:pPr>
          </w:p>
        </w:tc>
      </w:tr>
      <w:tr w:rsidR="00CD427C" w:rsidTr="00CD427C">
        <w:tc>
          <w:tcPr>
            <w:tcW w:w="14616" w:type="dxa"/>
            <w:gridSpan w:val="7"/>
          </w:tcPr>
          <w:p w:rsidR="00CD427C" w:rsidRPr="00996B9A" w:rsidRDefault="00CD427C" w:rsidP="00CD427C">
            <w:pPr>
              <w:jc w:val="center"/>
              <w:rPr>
                <w:b/>
                <w:sz w:val="24"/>
                <w:szCs w:val="24"/>
              </w:rPr>
            </w:pPr>
            <w:r w:rsidRPr="00996B9A">
              <w:rPr>
                <w:b/>
                <w:sz w:val="24"/>
                <w:szCs w:val="24"/>
              </w:rPr>
              <w:t>Unit Tasks</w:t>
            </w:r>
          </w:p>
        </w:tc>
      </w:tr>
      <w:tr w:rsidR="00CD427C" w:rsidTr="00CD427C">
        <w:tc>
          <w:tcPr>
            <w:tcW w:w="14616" w:type="dxa"/>
            <w:gridSpan w:val="7"/>
          </w:tcPr>
          <w:p w:rsidR="00CD427C" w:rsidRDefault="00CD427C" w:rsidP="00CB5D9A">
            <w:pPr>
              <w:rPr>
                <w:sz w:val="24"/>
                <w:szCs w:val="24"/>
              </w:rPr>
            </w:pPr>
            <w:r w:rsidRPr="00CB5D9A">
              <w:rPr>
                <w:sz w:val="24"/>
                <w:szCs w:val="24"/>
              </w:rPr>
              <w:t>Te</w:t>
            </w:r>
            <w:r w:rsidR="000B5008" w:rsidRPr="00CB5D9A">
              <w:rPr>
                <w:sz w:val="24"/>
                <w:szCs w:val="24"/>
              </w:rPr>
              <w:t xml:space="preserve">xt Analysis:    * </w:t>
            </w:r>
            <w:r w:rsidR="00CB5D9A" w:rsidRPr="00CB5D9A">
              <w:rPr>
                <w:sz w:val="24"/>
                <w:szCs w:val="24"/>
              </w:rPr>
              <w:t>Describe how a story’s or drama’s plot unfolds</w:t>
            </w:r>
          </w:p>
          <w:p w:rsidR="00CB5D9A" w:rsidRDefault="00CB5D9A" w:rsidP="00CB5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*Describe how characters respond as the plot moves toward a resolution</w:t>
            </w:r>
          </w:p>
          <w:p w:rsidR="00CB5D9A" w:rsidRDefault="00CB5D9A" w:rsidP="00CB5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*Analyze how a sentence, scene, or stanza contributes to the development of the setting or plot</w:t>
            </w:r>
          </w:p>
          <w:p w:rsidR="00CB5D9A" w:rsidRPr="00CB5D9A" w:rsidRDefault="00CB5D9A" w:rsidP="00CB5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*Compare authors’ purposes and draw conclusions about texts</w:t>
            </w:r>
          </w:p>
          <w:p w:rsidR="00CB5D9A" w:rsidRDefault="00CB5D9A" w:rsidP="00510938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Reading: </w:t>
            </w:r>
            <w:r w:rsidR="000B5008">
              <w:rPr>
                <w:sz w:val="24"/>
                <w:szCs w:val="24"/>
              </w:rPr>
              <w:t xml:space="preserve">            *</w:t>
            </w:r>
            <w:r w:rsidR="003B7C66">
              <w:rPr>
                <w:sz w:val="24"/>
                <w:szCs w:val="24"/>
              </w:rPr>
              <w:t>Cite textual evidence to support inferences drawn from the text</w:t>
            </w:r>
          </w:p>
          <w:p w:rsidR="003B7C66" w:rsidRDefault="003B7C66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*Integrate ideas across texts</w:t>
            </w:r>
          </w:p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D50824">
              <w:rPr>
                <w:sz w:val="24"/>
                <w:szCs w:val="24"/>
              </w:rPr>
              <w:t xml:space="preserve"> </w:t>
            </w:r>
          </w:p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</w:t>
            </w:r>
            <w:r w:rsidR="000B5008">
              <w:rPr>
                <w:sz w:val="24"/>
                <w:szCs w:val="24"/>
              </w:rPr>
              <w:t>ng and       *</w:t>
            </w:r>
            <w:r w:rsidR="003B7C66">
              <w:rPr>
                <w:sz w:val="24"/>
                <w:szCs w:val="24"/>
              </w:rPr>
              <w:t>Support an opinion</w:t>
            </w:r>
          </w:p>
          <w:p w:rsidR="00CD427C" w:rsidRDefault="00CD42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Language:          *</w:t>
            </w:r>
            <w:r w:rsidR="003B7C66">
              <w:rPr>
                <w:sz w:val="24"/>
                <w:szCs w:val="24"/>
              </w:rPr>
              <w:t>Use intensive pronouns correctly</w:t>
            </w:r>
          </w:p>
          <w:p w:rsidR="00CD427C" w:rsidRDefault="00CD427C" w:rsidP="003B7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B5008">
              <w:rPr>
                <w:sz w:val="24"/>
                <w:szCs w:val="24"/>
              </w:rPr>
              <w:t xml:space="preserve">                          *</w:t>
            </w:r>
            <w:r w:rsidR="003B7C66">
              <w:rPr>
                <w:sz w:val="24"/>
                <w:szCs w:val="24"/>
              </w:rPr>
              <w:t>Maintain pronoun-antecedent agreement</w:t>
            </w:r>
          </w:p>
          <w:p w:rsidR="003B7C66" w:rsidRDefault="003B7C66" w:rsidP="003B7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*Identify and correct sentence fragments and run-on sentences</w:t>
            </w:r>
          </w:p>
          <w:p w:rsidR="003B7C66" w:rsidRDefault="003B7C66" w:rsidP="003B7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*Use commas in compound sentences correctly</w:t>
            </w:r>
          </w:p>
          <w:p w:rsidR="003B7C66" w:rsidRDefault="003B7C66" w:rsidP="003B7C66">
            <w:pPr>
              <w:rPr>
                <w:sz w:val="24"/>
                <w:szCs w:val="24"/>
              </w:rPr>
            </w:pPr>
          </w:p>
          <w:p w:rsidR="003B7C66" w:rsidRDefault="003B7C66" w:rsidP="003B7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Speaking and    *Participate in a discussion</w:t>
            </w:r>
          </w:p>
          <w:p w:rsidR="003B7C66" w:rsidRDefault="003B7C66" w:rsidP="003B7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Listening:</w:t>
            </w:r>
          </w:p>
          <w:p w:rsidR="003B7C66" w:rsidRDefault="003B7C66" w:rsidP="003B7C66">
            <w:pPr>
              <w:rPr>
                <w:sz w:val="24"/>
                <w:szCs w:val="24"/>
              </w:rPr>
            </w:pPr>
          </w:p>
          <w:p w:rsidR="00CC247C" w:rsidRDefault="00CC247C" w:rsidP="00CD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Vocabulary</w:t>
            </w:r>
            <w:r w:rsidR="006A3F0C">
              <w:rPr>
                <w:sz w:val="24"/>
                <w:szCs w:val="24"/>
              </w:rPr>
              <w:t xml:space="preserve">:    </w:t>
            </w:r>
            <w:r w:rsidR="000B5008">
              <w:rPr>
                <w:sz w:val="24"/>
                <w:szCs w:val="24"/>
              </w:rPr>
              <w:t>*</w:t>
            </w:r>
            <w:r w:rsidR="00510938">
              <w:rPr>
                <w:sz w:val="24"/>
                <w:szCs w:val="24"/>
              </w:rPr>
              <w:t>Use roots and affixes as clues to the meaning of a word</w:t>
            </w:r>
          </w:p>
          <w:p w:rsidR="00CC247C" w:rsidRDefault="00510938" w:rsidP="005109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="00CC247C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Use a dictionary or thesaurus to determine or clarify the precise meaning of a word</w:t>
            </w:r>
          </w:p>
          <w:p w:rsidR="00CC247C" w:rsidRDefault="00CC247C" w:rsidP="00CC247C">
            <w:pPr>
              <w:rPr>
                <w:sz w:val="24"/>
                <w:szCs w:val="24"/>
              </w:rPr>
            </w:pPr>
          </w:p>
          <w:p w:rsidR="00CC247C" w:rsidRPr="00CC247C" w:rsidRDefault="00CC247C" w:rsidP="00CC2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Technology:</w:t>
            </w:r>
            <w:r w:rsidR="006A3F0C">
              <w:rPr>
                <w:sz w:val="24"/>
                <w:szCs w:val="24"/>
              </w:rPr>
              <w:t xml:space="preserve">      *</w:t>
            </w:r>
            <w:r w:rsidR="00510938">
              <w:rPr>
                <w:sz w:val="24"/>
                <w:szCs w:val="24"/>
              </w:rPr>
              <w:t>Use the internet to research a group project</w:t>
            </w:r>
          </w:p>
        </w:tc>
      </w:tr>
    </w:tbl>
    <w:p w:rsidR="006A3F0C" w:rsidRDefault="006A3F0C" w:rsidP="00D407B7">
      <w:pPr>
        <w:spacing w:after="0"/>
        <w:jc w:val="both"/>
      </w:pPr>
    </w:p>
    <w:tbl>
      <w:tblPr>
        <w:tblStyle w:val="TableGrid"/>
        <w:tblW w:w="0" w:type="auto"/>
        <w:tblLook w:val="04A0"/>
      </w:tblPr>
      <w:tblGrid>
        <w:gridCol w:w="4872"/>
        <w:gridCol w:w="4872"/>
        <w:gridCol w:w="4872"/>
      </w:tblGrid>
      <w:tr w:rsidR="00EC064E" w:rsidTr="00EC064E">
        <w:tc>
          <w:tcPr>
            <w:tcW w:w="14616" w:type="dxa"/>
            <w:gridSpan w:val="3"/>
          </w:tcPr>
          <w:p w:rsidR="00CD591C" w:rsidRPr="00246737" w:rsidRDefault="00EC064E" w:rsidP="00CD591C">
            <w:pPr>
              <w:jc w:val="center"/>
              <w:rPr>
                <w:b/>
                <w:sz w:val="28"/>
                <w:szCs w:val="28"/>
              </w:rPr>
            </w:pPr>
            <w:r w:rsidRPr="00246737">
              <w:rPr>
                <w:b/>
                <w:sz w:val="28"/>
                <w:szCs w:val="28"/>
              </w:rPr>
              <w:lastRenderedPageBreak/>
              <w:t>Unit Vocabulary</w:t>
            </w:r>
          </w:p>
          <w:p w:rsidR="00CD591C" w:rsidRDefault="00CD591C" w:rsidP="00CD5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Academic Vocabulary for the unit: </w:t>
            </w:r>
          </w:p>
          <w:p w:rsidR="00CD591C" w:rsidRPr="00CD591C" w:rsidRDefault="00CD591C" w:rsidP="00CD5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B5008">
              <w:rPr>
                <w:sz w:val="24"/>
                <w:szCs w:val="24"/>
              </w:rPr>
              <w:t xml:space="preserve">                              *</w:t>
            </w:r>
            <w:r w:rsidR="0056075C">
              <w:rPr>
                <w:sz w:val="24"/>
                <w:szCs w:val="24"/>
              </w:rPr>
              <w:t>affect</w:t>
            </w:r>
            <w:r w:rsidR="000B5008">
              <w:rPr>
                <w:sz w:val="24"/>
                <w:szCs w:val="24"/>
              </w:rPr>
              <w:t xml:space="preserve">           *</w:t>
            </w:r>
            <w:r w:rsidR="0056075C">
              <w:rPr>
                <w:sz w:val="24"/>
                <w:szCs w:val="24"/>
              </w:rPr>
              <w:t>impact</w:t>
            </w:r>
            <w:r w:rsidRPr="00CD591C">
              <w:rPr>
                <w:sz w:val="24"/>
                <w:szCs w:val="24"/>
              </w:rPr>
              <w:t xml:space="preserve">              </w:t>
            </w:r>
          </w:p>
          <w:p w:rsidR="00CD591C" w:rsidRPr="00CD591C" w:rsidRDefault="00CD591C" w:rsidP="00CD5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B5008">
              <w:rPr>
                <w:sz w:val="24"/>
                <w:szCs w:val="24"/>
              </w:rPr>
              <w:t xml:space="preserve">                              *</w:t>
            </w:r>
            <w:r>
              <w:rPr>
                <w:sz w:val="24"/>
                <w:szCs w:val="24"/>
              </w:rPr>
              <w:t xml:space="preserve"> </w:t>
            </w:r>
            <w:r w:rsidR="0056075C">
              <w:rPr>
                <w:sz w:val="24"/>
                <w:szCs w:val="24"/>
              </w:rPr>
              <w:t xml:space="preserve">analyze      </w:t>
            </w:r>
            <w:r w:rsidR="000B5008">
              <w:rPr>
                <w:sz w:val="24"/>
                <w:szCs w:val="24"/>
              </w:rPr>
              <w:t>*</w:t>
            </w:r>
            <w:r w:rsidR="002402EE">
              <w:rPr>
                <w:sz w:val="24"/>
                <w:szCs w:val="24"/>
              </w:rPr>
              <w:t>provide</w:t>
            </w:r>
          </w:p>
          <w:p w:rsidR="00CD591C" w:rsidRPr="00CD591C" w:rsidRDefault="00CD591C" w:rsidP="00560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*</w:t>
            </w:r>
            <w:r w:rsidR="0056075C">
              <w:rPr>
                <w:sz w:val="24"/>
                <w:szCs w:val="24"/>
              </w:rPr>
              <w:t>evidence</w:t>
            </w:r>
          </w:p>
        </w:tc>
      </w:tr>
      <w:tr w:rsidR="00EC064E" w:rsidTr="00E77B2F">
        <w:tc>
          <w:tcPr>
            <w:tcW w:w="4872" w:type="dxa"/>
          </w:tcPr>
          <w:p w:rsidR="00EC064E" w:rsidRDefault="00EC064E" w:rsidP="00EC0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Story and pages</w:t>
            </w:r>
          </w:p>
        </w:tc>
        <w:tc>
          <w:tcPr>
            <w:tcW w:w="4872" w:type="dxa"/>
          </w:tcPr>
          <w:p w:rsidR="00EC064E" w:rsidRDefault="00EC064E" w:rsidP="00EC0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Academic Vocabulary</w:t>
            </w:r>
          </w:p>
        </w:tc>
        <w:tc>
          <w:tcPr>
            <w:tcW w:w="4872" w:type="dxa"/>
          </w:tcPr>
          <w:p w:rsidR="00EC064E" w:rsidRDefault="00EC064E" w:rsidP="00EC0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Context Vocabulary</w:t>
            </w:r>
          </w:p>
        </w:tc>
      </w:tr>
      <w:tr w:rsidR="00EC064E" w:rsidTr="00E77B2F">
        <w:tc>
          <w:tcPr>
            <w:tcW w:w="4872" w:type="dxa"/>
          </w:tcPr>
          <w:p w:rsidR="00EC064E" w:rsidRDefault="002402EE" w:rsidP="000B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3F452F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The School Play” p. 36</w:t>
            </w:r>
            <w:r w:rsidR="003F452F">
              <w:rPr>
                <w:sz w:val="24"/>
                <w:szCs w:val="24"/>
              </w:rPr>
              <w:t>-45</w:t>
            </w:r>
          </w:p>
          <w:p w:rsidR="002402EE" w:rsidRPr="00777354" w:rsidRDefault="002402EE" w:rsidP="000B500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777354">
              <w:rPr>
                <w:b/>
                <w:sz w:val="24"/>
                <w:szCs w:val="24"/>
              </w:rPr>
              <w:t xml:space="preserve">ECOS </w:t>
            </w:r>
          </w:p>
        </w:tc>
        <w:tc>
          <w:tcPr>
            <w:tcW w:w="4872" w:type="dxa"/>
          </w:tcPr>
          <w:p w:rsidR="00EC064E" w:rsidRDefault="003F452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plot                          falling action       </w:t>
            </w:r>
          </w:p>
          <w:p w:rsidR="003F452F" w:rsidRDefault="003F452F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exposition              resolution</w:t>
            </w:r>
            <w:r w:rsidR="002402EE">
              <w:rPr>
                <w:sz w:val="24"/>
                <w:szCs w:val="24"/>
              </w:rPr>
              <w:t>/denouement</w:t>
            </w:r>
          </w:p>
          <w:p w:rsidR="003F452F" w:rsidRDefault="003F452F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rising action           climax</w:t>
            </w:r>
          </w:p>
        </w:tc>
        <w:tc>
          <w:tcPr>
            <w:tcW w:w="4872" w:type="dxa"/>
          </w:tcPr>
          <w:p w:rsidR="003F452F" w:rsidRDefault="002402EE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narrative              smirk</w:t>
            </w:r>
          </w:p>
          <w:p w:rsidR="002402EE" w:rsidRDefault="002402EE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relentless</w:t>
            </w:r>
          </w:p>
          <w:p w:rsidR="002402EE" w:rsidRDefault="002402EE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</w:t>
            </w:r>
          </w:p>
        </w:tc>
      </w:tr>
      <w:tr w:rsidR="00EC064E" w:rsidTr="00E77B2F">
        <w:tc>
          <w:tcPr>
            <w:tcW w:w="4872" w:type="dxa"/>
          </w:tcPr>
          <w:p w:rsidR="00EC064E" w:rsidRDefault="002402EE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“The Good Deed</w:t>
            </w:r>
            <w:r w:rsidR="003F452F">
              <w:rPr>
                <w:sz w:val="24"/>
                <w:szCs w:val="24"/>
              </w:rPr>
              <w:t>” p. 46-65</w:t>
            </w:r>
          </w:p>
          <w:p w:rsidR="002402EE" w:rsidRDefault="002402EE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872" w:type="dxa"/>
          </w:tcPr>
          <w:p w:rsidR="003F452F" w:rsidRDefault="002402EE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climax                    external conflict</w:t>
            </w:r>
          </w:p>
          <w:p w:rsidR="002402EE" w:rsidRDefault="002402EE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conflict                   internal conflict</w:t>
            </w:r>
          </w:p>
        </w:tc>
        <w:tc>
          <w:tcPr>
            <w:tcW w:w="4872" w:type="dxa"/>
          </w:tcPr>
          <w:p w:rsidR="003F452F" w:rsidRDefault="002402EE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accusation            </w:t>
            </w:r>
            <w:r w:rsidR="007773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incredibly</w:t>
            </w:r>
          </w:p>
          <w:p w:rsidR="002402EE" w:rsidRDefault="002402EE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generic                 </w:t>
            </w:r>
            <w:r w:rsidR="007773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pert</w:t>
            </w:r>
          </w:p>
          <w:p w:rsidR="002402EE" w:rsidRPr="003F452F" w:rsidRDefault="002402EE" w:rsidP="003F452F">
            <w:r>
              <w:rPr>
                <w:sz w:val="24"/>
                <w:szCs w:val="24"/>
              </w:rPr>
              <w:t>impaired                trite</w:t>
            </w:r>
          </w:p>
        </w:tc>
      </w:tr>
      <w:tr w:rsidR="00EC064E" w:rsidTr="00183B50">
        <w:trPr>
          <w:trHeight w:val="755"/>
        </w:trPr>
        <w:tc>
          <w:tcPr>
            <w:tcW w:w="4872" w:type="dxa"/>
          </w:tcPr>
          <w:p w:rsidR="00183B50" w:rsidRDefault="00865CFC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2402EE">
              <w:rPr>
                <w:sz w:val="24"/>
                <w:szCs w:val="24"/>
              </w:rPr>
              <w:t>“All Summer in a Day” p. 66-8</w:t>
            </w:r>
            <w:r w:rsidR="003F452F">
              <w:rPr>
                <w:sz w:val="24"/>
                <w:szCs w:val="24"/>
              </w:rPr>
              <w:t>5</w:t>
            </w:r>
          </w:p>
          <w:p w:rsidR="00777354" w:rsidRPr="00777354" w:rsidRDefault="00777354" w:rsidP="00EC064E">
            <w:pPr>
              <w:rPr>
                <w:b/>
                <w:sz w:val="24"/>
                <w:szCs w:val="24"/>
              </w:rPr>
            </w:pPr>
            <w:r w:rsidRPr="00777354">
              <w:rPr>
                <w:b/>
                <w:sz w:val="24"/>
                <w:szCs w:val="24"/>
              </w:rPr>
              <w:t xml:space="preserve">     ECOS</w:t>
            </w:r>
          </w:p>
        </w:tc>
        <w:tc>
          <w:tcPr>
            <w:tcW w:w="4872" w:type="dxa"/>
          </w:tcPr>
          <w:p w:rsidR="00183B50" w:rsidRDefault="002402EE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plot</w:t>
            </w:r>
          </w:p>
          <w:p w:rsidR="002402EE" w:rsidRDefault="002402EE" w:rsidP="003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setting</w:t>
            </w:r>
          </w:p>
        </w:tc>
        <w:tc>
          <w:tcPr>
            <w:tcW w:w="4872" w:type="dxa"/>
          </w:tcPr>
          <w:p w:rsidR="00183B50" w:rsidRDefault="002402EE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Apparatus  </w:t>
            </w:r>
            <w:r w:rsidR="00777354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savor</w:t>
            </w:r>
          </w:p>
          <w:p w:rsidR="002402EE" w:rsidRDefault="002402EE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Immense</w:t>
            </w:r>
            <w:r w:rsidR="00777354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>slacken</w:t>
            </w:r>
          </w:p>
          <w:p w:rsidR="002402EE" w:rsidRDefault="002402EE" w:rsidP="00777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Resilient                  tumultuously</w:t>
            </w:r>
          </w:p>
        </w:tc>
      </w:tr>
      <w:tr w:rsidR="00C64E59" w:rsidTr="00E77B2F">
        <w:tc>
          <w:tcPr>
            <w:tcW w:w="4872" w:type="dxa"/>
          </w:tcPr>
          <w:p w:rsidR="00C64E59" w:rsidRDefault="00865CFC" w:rsidP="00240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183B50">
              <w:rPr>
                <w:sz w:val="24"/>
                <w:szCs w:val="24"/>
              </w:rPr>
              <w:t>“</w:t>
            </w:r>
            <w:r w:rsidR="002402EE">
              <w:rPr>
                <w:sz w:val="24"/>
                <w:szCs w:val="24"/>
              </w:rPr>
              <w:t>Lob’s Girl” p.8</w:t>
            </w:r>
            <w:r w:rsidR="00183B50">
              <w:rPr>
                <w:sz w:val="24"/>
                <w:szCs w:val="24"/>
              </w:rPr>
              <w:t>6-</w:t>
            </w:r>
            <w:r w:rsidR="002402EE">
              <w:rPr>
                <w:sz w:val="24"/>
                <w:szCs w:val="24"/>
              </w:rPr>
              <w:t>103</w:t>
            </w:r>
          </w:p>
        </w:tc>
        <w:tc>
          <w:tcPr>
            <w:tcW w:w="4872" w:type="dxa"/>
          </w:tcPr>
          <w:p w:rsidR="00183B50" w:rsidRDefault="00183B50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foreshadowing</w:t>
            </w:r>
          </w:p>
          <w:p w:rsidR="00183B50" w:rsidRDefault="00183B50" w:rsidP="00EC064E">
            <w:pPr>
              <w:rPr>
                <w:sz w:val="24"/>
                <w:szCs w:val="24"/>
              </w:rPr>
            </w:pPr>
          </w:p>
        </w:tc>
        <w:tc>
          <w:tcPr>
            <w:tcW w:w="4872" w:type="dxa"/>
          </w:tcPr>
          <w:p w:rsidR="00183B50" w:rsidRDefault="00777354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agitate                     melancholy</w:t>
            </w:r>
          </w:p>
          <w:p w:rsidR="00777354" w:rsidRDefault="00777354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erupt                        atone</w:t>
            </w:r>
          </w:p>
          <w:p w:rsidR="00777354" w:rsidRDefault="00777354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reluctant                  decisively</w:t>
            </w:r>
          </w:p>
        </w:tc>
      </w:tr>
      <w:tr w:rsidR="00A707FF" w:rsidTr="00E77B2F">
        <w:tc>
          <w:tcPr>
            <w:tcW w:w="4872" w:type="dxa"/>
          </w:tcPr>
          <w:p w:rsidR="00A707FF" w:rsidRDefault="00865CFC" w:rsidP="00777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777354">
              <w:rPr>
                <w:sz w:val="24"/>
                <w:szCs w:val="24"/>
              </w:rPr>
              <w:t>“From:  Wood Song” p. 114</w:t>
            </w:r>
            <w:r w:rsidR="002A5E74">
              <w:rPr>
                <w:sz w:val="24"/>
                <w:szCs w:val="24"/>
              </w:rPr>
              <w:t>-12</w:t>
            </w:r>
            <w:r w:rsidR="00777354">
              <w:rPr>
                <w:sz w:val="24"/>
                <w:szCs w:val="24"/>
              </w:rPr>
              <w:t>5</w:t>
            </w:r>
          </w:p>
        </w:tc>
        <w:tc>
          <w:tcPr>
            <w:tcW w:w="4872" w:type="dxa"/>
          </w:tcPr>
          <w:p w:rsidR="002A5E74" w:rsidRDefault="00777354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author’s purpose       imagery</w:t>
            </w:r>
          </w:p>
          <w:p w:rsidR="00777354" w:rsidRDefault="00777354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conflict                        suspense</w:t>
            </w:r>
          </w:p>
        </w:tc>
        <w:tc>
          <w:tcPr>
            <w:tcW w:w="4872" w:type="dxa"/>
          </w:tcPr>
          <w:p w:rsidR="00777354" w:rsidRDefault="00777354" w:rsidP="000B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coherent                  novelty</w:t>
            </w:r>
          </w:p>
          <w:p w:rsidR="00777354" w:rsidRDefault="00777354" w:rsidP="000B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eject                          scavenge</w:t>
            </w:r>
          </w:p>
          <w:p w:rsidR="00777354" w:rsidRDefault="00777354" w:rsidP="000B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hibernation              truce</w:t>
            </w:r>
          </w:p>
        </w:tc>
      </w:tr>
      <w:tr w:rsidR="00A707FF" w:rsidTr="00E77B2F">
        <w:tc>
          <w:tcPr>
            <w:tcW w:w="4872" w:type="dxa"/>
          </w:tcPr>
          <w:p w:rsidR="00404E2C" w:rsidRDefault="002A5E74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777354">
              <w:rPr>
                <w:sz w:val="24"/>
                <w:szCs w:val="24"/>
              </w:rPr>
              <w:t>The Horse Snake” p. 126-14</w:t>
            </w:r>
            <w:r>
              <w:rPr>
                <w:sz w:val="24"/>
                <w:szCs w:val="24"/>
              </w:rPr>
              <w:t>1</w:t>
            </w:r>
          </w:p>
          <w:p w:rsidR="00404E2C" w:rsidRDefault="00404E2C" w:rsidP="00EC064E">
            <w:pPr>
              <w:rPr>
                <w:sz w:val="24"/>
                <w:szCs w:val="24"/>
              </w:rPr>
            </w:pPr>
          </w:p>
        </w:tc>
        <w:tc>
          <w:tcPr>
            <w:tcW w:w="4872" w:type="dxa"/>
          </w:tcPr>
          <w:p w:rsidR="00D06B55" w:rsidRDefault="00777354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chronological order</w:t>
            </w:r>
          </w:p>
          <w:p w:rsidR="00777354" w:rsidRDefault="00777354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memoirs</w:t>
            </w:r>
          </w:p>
        </w:tc>
        <w:tc>
          <w:tcPr>
            <w:tcW w:w="4872" w:type="dxa"/>
          </w:tcPr>
          <w:p w:rsidR="00D06B55" w:rsidRDefault="00777354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assume                     petrify</w:t>
            </w:r>
          </w:p>
          <w:p w:rsidR="00777354" w:rsidRDefault="00777354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gait                            stealthily</w:t>
            </w:r>
          </w:p>
          <w:p w:rsidR="00777354" w:rsidRDefault="00777354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nocturnal                 succumb</w:t>
            </w:r>
          </w:p>
        </w:tc>
      </w:tr>
      <w:tr w:rsidR="00404E2C" w:rsidTr="00E77B2F">
        <w:tc>
          <w:tcPr>
            <w:tcW w:w="4872" w:type="dxa"/>
          </w:tcPr>
          <w:p w:rsidR="00404E2C" w:rsidRDefault="002A5E74" w:rsidP="00777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777354">
              <w:rPr>
                <w:sz w:val="24"/>
                <w:szCs w:val="24"/>
              </w:rPr>
              <w:t>The Walrus and the Carpenter” p. 14</w:t>
            </w:r>
            <w:r>
              <w:rPr>
                <w:sz w:val="24"/>
                <w:szCs w:val="24"/>
              </w:rPr>
              <w:t>2-1</w:t>
            </w:r>
            <w:r w:rsidR="00777354">
              <w:rPr>
                <w:sz w:val="24"/>
                <w:szCs w:val="24"/>
              </w:rPr>
              <w:t>49</w:t>
            </w:r>
          </w:p>
        </w:tc>
        <w:tc>
          <w:tcPr>
            <w:tcW w:w="4872" w:type="dxa"/>
          </w:tcPr>
          <w:p w:rsidR="00D06B55" w:rsidRDefault="00D06B55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narrative poem          </w:t>
            </w:r>
          </w:p>
        </w:tc>
        <w:tc>
          <w:tcPr>
            <w:tcW w:w="4872" w:type="dxa"/>
          </w:tcPr>
          <w:p w:rsidR="00404E2C" w:rsidRDefault="00D06B55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A707FF" w:rsidTr="00E77B2F">
        <w:tc>
          <w:tcPr>
            <w:tcW w:w="4872" w:type="dxa"/>
          </w:tcPr>
          <w:p w:rsidR="002A5E74" w:rsidRDefault="002A5E74" w:rsidP="00777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“The </w:t>
            </w:r>
            <w:r w:rsidR="00777354">
              <w:rPr>
                <w:sz w:val="24"/>
                <w:szCs w:val="24"/>
              </w:rPr>
              <w:t>Prince and the Pauper”  p. 150</w:t>
            </w:r>
            <w:r>
              <w:rPr>
                <w:sz w:val="24"/>
                <w:szCs w:val="24"/>
              </w:rPr>
              <w:t>-1</w:t>
            </w:r>
            <w:r w:rsidR="00777354">
              <w:rPr>
                <w:sz w:val="24"/>
                <w:szCs w:val="24"/>
              </w:rPr>
              <w:t>69</w:t>
            </w:r>
          </w:p>
          <w:p w:rsidR="00777354" w:rsidRPr="00777354" w:rsidRDefault="00777354" w:rsidP="0077735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>ECOS</w:t>
            </w:r>
          </w:p>
        </w:tc>
        <w:tc>
          <w:tcPr>
            <w:tcW w:w="4872" w:type="dxa"/>
          </w:tcPr>
          <w:p w:rsidR="00D06B55" w:rsidRDefault="00777354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4872" w:type="dxa"/>
          </w:tcPr>
          <w:p w:rsidR="00D06B55" w:rsidRDefault="00777354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affliction                   recollection</w:t>
            </w:r>
          </w:p>
          <w:p w:rsidR="00777354" w:rsidRDefault="00777354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imposter                   sane</w:t>
            </w:r>
          </w:p>
          <w:p w:rsidR="00777354" w:rsidRDefault="00777354" w:rsidP="00EC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pauper                      successor</w:t>
            </w:r>
          </w:p>
        </w:tc>
      </w:tr>
    </w:tbl>
    <w:p w:rsidR="008C036F" w:rsidRPr="002F4007" w:rsidRDefault="008C036F" w:rsidP="008C036F">
      <w:pPr>
        <w:spacing w:after="0"/>
        <w:jc w:val="both"/>
        <w:rPr>
          <w:b/>
          <w:i/>
        </w:rPr>
      </w:pPr>
      <w:r w:rsidRPr="002F4007">
        <w:rPr>
          <w:b/>
          <w:i/>
        </w:rPr>
        <w:t xml:space="preserve">*Denotes stories that are also in The </w:t>
      </w:r>
      <w:r w:rsidR="00865CFC">
        <w:rPr>
          <w:b/>
          <w:i/>
        </w:rPr>
        <w:t>Language of Literature text book</w:t>
      </w:r>
      <w:r w:rsidRPr="002F4007">
        <w:rPr>
          <w:b/>
          <w:i/>
        </w:rPr>
        <w:t>.</w:t>
      </w:r>
    </w:p>
    <w:p w:rsidR="00246737" w:rsidRDefault="00246737" w:rsidP="00246737">
      <w:pPr>
        <w:spacing w:after="0"/>
        <w:jc w:val="both"/>
        <w:rPr>
          <w:b/>
          <w:i/>
        </w:rPr>
      </w:pPr>
      <w:r w:rsidRPr="002F4007">
        <w:rPr>
          <w:b/>
          <w:i/>
        </w:rPr>
        <w:t>Note to Teachers:  The Common Core Essential Standards focus on teaching quality, rigorous lessons.  Therefore, this pacing guide allows teachers</w:t>
      </w:r>
      <w:r w:rsidR="002F4007">
        <w:rPr>
          <w:b/>
          <w:i/>
        </w:rPr>
        <w:t xml:space="preserve"> </w:t>
      </w:r>
      <w:r w:rsidRPr="002F4007">
        <w:rPr>
          <w:b/>
          <w:i/>
        </w:rPr>
        <w:t>flexibility to select from the stories in each unit.  Teachers are not expected to use every story within an entire unit.</w:t>
      </w:r>
    </w:p>
    <w:p w:rsidR="000A1198" w:rsidRPr="00E9562A" w:rsidRDefault="000A1198" w:rsidP="00246737">
      <w:pPr>
        <w:spacing w:after="0"/>
        <w:jc w:val="both"/>
      </w:pPr>
    </w:p>
    <w:p w:rsidR="00996752" w:rsidRDefault="00996752" w:rsidP="00D407B7">
      <w:pPr>
        <w:spacing w:after="0"/>
        <w:jc w:val="both"/>
        <w:rPr>
          <w:b/>
          <w:i/>
        </w:rPr>
      </w:pPr>
    </w:p>
    <w:p w:rsidR="002A5E74" w:rsidRDefault="002A5E74" w:rsidP="00D407B7">
      <w:pPr>
        <w:spacing w:after="0"/>
        <w:jc w:val="both"/>
        <w:rPr>
          <w:b/>
          <w:i/>
        </w:rPr>
      </w:pPr>
    </w:p>
    <w:p w:rsidR="00122FBF" w:rsidRDefault="00122FBF" w:rsidP="00D407B7">
      <w:pPr>
        <w:spacing w:after="0"/>
        <w:jc w:val="both"/>
        <w:rPr>
          <w:b/>
          <w:i/>
        </w:rPr>
      </w:pPr>
    </w:p>
    <w:p w:rsidR="00122FBF" w:rsidRDefault="00122FBF" w:rsidP="00D407B7">
      <w:pPr>
        <w:spacing w:after="0"/>
        <w:jc w:val="both"/>
        <w:rPr>
          <w:b/>
          <w:i/>
        </w:rPr>
      </w:pPr>
    </w:p>
    <w:tbl>
      <w:tblPr>
        <w:tblStyle w:val="TableGrid"/>
        <w:tblW w:w="0" w:type="auto"/>
        <w:tblLook w:val="04A0"/>
      </w:tblPr>
      <w:tblGrid>
        <w:gridCol w:w="14616"/>
      </w:tblGrid>
      <w:tr w:rsidR="002A5E74" w:rsidTr="00C55E59">
        <w:tc>
          <w:tcPr>
            <w:tcW w:w="14616" w:type="dxa"/>
          </w:tcPr>
          <w:p w:rsidR="002A5E74" w:rsidRPr="001C3DAD" w:rsidRDefault="002A5E74" w:rsidP="00C55E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Unit Student Workshops/Assessment Practices</w:t>
            </w:r>
          </w:p>
        </w:tc>
      </w:tr>
      <w:tr w:rsidR="002A5E74" w:rsidTr="00C55E59">
        <w:tc>
          <w:tcPr>
            <w:tcW w:w="14616" w:type="dxa"/>
          </w:tcPr>
          <w:p w:rsidR="002A5E74" w:rsidRPr="001C3DAD" w:rsidRDefault="002A5E74" w:rsidP="00CF1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 Analysis Wo</w:t>
            </w:r>
            <w:r w:rsidR="006C4591">
              <w:rPr>
                <w:sz w:val="24"/>
                <w:szCs w:val="24"/>
              </w:rPr>
              <w:t xml:space="preserve">rkshop: </w:t>
            </w:r>
            <w:r w:rsidR="00CF129D">
              <w:rPr>
                <w:sz w:val="24"/>
                <w:szCs w:val="24"/>
              </w:rPr>
              <w:t xml:space="preserve">What Makes a Good Story?                        </w:t>
            </w:r>
            <w:r>
              <w:rPr>
                <w:sz w:val="24"/>
                <w:szCs w:val="24"/>
              </w:rPr>
              <w:t xml:space="preserve"> p. 28-33</w:t>
            </w:r>
          </w:p>
        </w:tc>
      </w:tr>
      <w:tr w:rsidR="002A5E74" w:rsidTr="00C55E59">
        <w:tc>
          <w:tcPr>
            <w:tcW w:w="14616" w:type="dxa"/>
          </w:tcPr>
          <w:p w:rsidR="002A5E74" w:rsidRDefault="002A5E74" w:rsidP="00CF1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 Workshop:</w:t>
            </w:r>
            <w:r w:rsidR="006C4591">
              <w:rPr>
                <w:sz w:val="24"/>
                <w:szCs w:val="24"/>
              </w:rPr>
              <w:t xml:space="preserve">  </w:t>
            </w:r>
            <w:r w:rsidR="00CF129D">
              <w:rPr>
                <w:sz w:val="24"/>
                <w:szCs w:val="24"/>
              </w:rPr>
              <w:t>Write To Learn</w:t>
            </w:r>
          </w:p>
        </w:tc>
      </w:tr>
      <w:tr w:rsidR="002A5E74" w:rsidTr="00C55E59">
        <w:tc>
          <w:tcPr>
            <w:tcW w:w="14616" w:type="dxa"/>
          </w:tcPr>
          <w:p w:rsidR="002A5E74" w:rsidRDefault="00CF129D" w:rsidP="006C4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Speaking and Listening Workshop:  Participating in a Discussion     p. 180-181</w:t>
            </w:r>
          </w:p>
        </w:tc>
      </w:tr>
      <w:tr w:rsidR="002A5E74" w:rsidTr="00C55E59">
        <w:tc>
          <w:tcPr>
            <w:tcW w:w="14616" w:type="dxa"/>
          </w:tcPr>
          <w:p w:rsidR="002A5E74" w:rsidRDefault="002A5E74" w:rsidP="00CF1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Assessment Practice                                                                                  p. </w:t>
            </w:r>
            <w:r w:rsidR="00CF129D">
              <w:rPr>
                <w:sz w:val="24"/>
                <w:szCs w:val="24"/>
              </w:rPr>
              <w:t>182-187</w:t>
            </w:r>
          </w:p>
        </w:tc>
      </w:tr>
    </w:tbl>
    <w:p w:rsidR="002A5E74" w:rsidRDefault="002A5E74" w:rsidP="00D407B7">
      <w:pPr>
        <w:spacing w:after="0"/>
        <w:jc w:val="both"/>
        <w:rPr>
          <w:b/>
          <w:i/>
        </w:rPr>
      </w:pPr>
    </w:p>
    <w:p w:rsidR="00CF129D" w:rsidRDefault="00CF129D" w:rsidP="00D407B7">
      <w:pPr>
        <w:spacing w:after="0"/>
        <w:jc w:val="both"/>
        <w:rPr>
          <w:b/>
          <w:i/>
        </w:rPr>
      </w:pPr>
    </w:p>
    <w:p w:rsidR="00CF129D" w:rsidRDefault="00CF129D" w:rsidP="00D407B7">
      <w:pPr>
        <w:spacing w:after="0"/>
        <w:jc w:val="both"/>
        <w:rPr>
          <w:b/>
          <w:i/>
        </w:rPr>
      </w:pPr>
    </w:p>
    <w:p w:rsidR="00CF129D" w:rsidRDefault="00122FBF" w:rsidP="00D407B7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Unit 1</w:t>
      </w:r>
      <w:r w:rsidR="00CF129D">
        <w:rPr>
          <w:b/>
          <w:u w:val="single"/>
        </w:rPr>
        <w:t xml:space="preserve"> Project Ideas to Incorporate Technology</w:t>
      </w:r>
    </w:p>
    <w:p w:rsidR="00CF129D" w:rsidRDefault="00CF129D" w:rsidP="00CF129D">
      <w:pPr>
        <w:pStyle w:val="ListParagraph"/>
        <w:numPr>
          <w:ilvl w:val="0"/>
          <w:numId w:val="11"/>
        </w:numPr>
        <w:spacing w:after="0"/>
        <w:jc w:val="both"/>
      </w:pPr>
      <w:r>
        <w:t>Have student conduct individual research on the nature and theory of memory.  Research the relationship between long-term and short-term memory to further understand the way humans remember (or forget!)</w:t>
      </w:r>
    </w:p>
    <w:p w:rsidR="00CF129D" w:rsidRDefault="00CF129D" w:rsidP="00CF129D">
      <w:pPr>
        <w:pStyle w:val="ListParagraph"/>
        <w:numPr>
          <w:ilvl w:val="0"/>
          <w:numId w:val="11"/>
        </w:numPr>
        <w:spacing w:after="0"/>
        <w:jc w:val="both"/>
      </w:pPr>
      <w:r>
        <w:t>Divide students into small groups.  Ask them to research a real dog that was extraordinary.</w:t>
      </w:r>
    </w:p>
    <w:p w:rsidR="00CF129D" w:rsidRPr="00CF129D" w:rsidRDefault="00CF129D" w:rsidP="00CF129D">
      <w:pPr>
        <w:pStyle w:val="ListParagraph"/>
        <w:numPr>
          <w:ilvl w:val="0"/>
          <w:numId w:val="11"/>
        </w:numPr>
        <w:spacing w:after="0"/>
        <w:jc w:val="both"/>
      </w:pPr>
      <w:r>
        <w:t>Have students work in small groups to create an advertisement about the story they have just read.</w:t>
      </w:r>
    </w:p>
    <w:sectPr w:rsidR="00CF129D" w:rsidRPr="00CF129D" w:rsidSect="00D407B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18B"/>
    <w:multiLevelType w:val="hybridMultilevel"/>
    <w:tmpl w:val="D4D8DCB8"/>
    <w:lvl w:ilvl="0" w:tplc="4DF2B87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20D72"/>
    <w:multiLevelType w:val="hybridMultilevel"/>
    <w:tmpl w:val="6BE6DEE6"/>
    <w:lvl w:ilvl="0" w:tplc="07F4625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039A4"/>
    <w:multiLevelType w:val="hybridMultilevel"/>
    <w:tmpl w:val="3372F370"/>
    <w:lvl w:ilvl="0" w:tplc="378422F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97342"/>
    <w:multiLevelType w:val="hybridMultilevel"/>
    <w:tmpl w:val="DAEC12AE"/>
    <w:lvl w:ilvl="0" w:tplc="EB7EED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31F1B"/>
    <w:multiLevelType w:val="hybridMultilevel"/>
    <w:tmpl w:val="1982D6DC"/>
    <w:lvl w:ilvl="0" w:tplc="4DF2B87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D35372"/>
    <w:multiLevelType w:val="hybridMultilevel"/>
    <w:tmpl w:val="EABCE506"/>
    <w:lvl w:ilvl="0" w:tplc="EB7EEDE0">
      <w:numFmt w:val="bullet"/>
      <w:lvlText w:val=""/>
      <w:lvlJc w:val="left"/>
      <w:pPr>
        <w:ind w:left="1884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F03B8"/>
    <w:multiLevelType w:val="hybridMultilevel"/>
    <w:tmpl w:val="821E1E9E"/>
    <w:lvl w:ilvl="0" w:tplc="ED1E3396">
      <w:numFmt w:val="bullet"/>
      <w:lvlText w:val=""/>
      <w:lvlJc w:val="left"/>
      <w:pPr>
        <w:ind w:left="18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A6A2D"/>
    <w:multiLevelType w:val="hybridMultilevel"/>
    <w:tmpl w:val="3E36051C"/>
    <w:lvl w:ilvl="0" w:tplc="EB7EEDE0">
      <w:numFmt w:val="bullet"/>
      <w:lvlText w:val=""/>
      <w:lvlJc w:val="left"/>
      <w:pPr>
        <w:ind w:left="1884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abstractNum w:abstractNumId="8">
    <w:nsid w:val="52B351CD"/>
    <w:multiLevelType w:val="hybridMultilevel"/>
    <w:tmpl w:val="264C96E0"/>
    <w:lvl w:ilvl="0" w:tplc="EB7EEDE0">
      <w:numFmt w:val="bullet"/>
      <w:lvlText w:val=""/>
      <w:lvlJc w:val="left"/>
      <w:pPr>
        <w:ind w:left="1884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01286"/>
    <w:multiLevelType w:val="hybridMultilevel"/>
    <w:tmpl w:val="4E36D2B4"/>
    <w:lvl w:ilvl="0" w:tplc="ED1E3396">
      <w:numFmt w:val="bullet"/>
      <w:lvlText w:val=""/>
      <w:lvlJc w:val="left"/>
      <w:pPr>
        <w:ind w:left="18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>
    <w:nsid w:val="7C8C4AD4"/>
    <w:multiLevelType w:val="hybridMultilevel"/>
    <w:tmpl w:val="3EBC2C32"/>
    <w:lvl w:ilvl="0" w:tplc="F6D25BD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407B7"/>
    <w:rsid w:val="00037B25"/>
    <w:rsid w:val="00081FBA"/>
    <w:rsid w:val="000A1198"/>
    <w:rsid w:val="000B1807"/>
    <w:rsid w:val="000B5008"/>
    <w:rsid w:val="00122FBF"/>
    <w:rsid w:val="001509B9"/>
    <w:rsid w:val="00183B50"/>
    <w:rsid w:val="002402EE"/>
    <w:rsid w:val="00246737"/>
    <w:rsid w:val="002811EF"/>
    <w:rsid w:val="00286A16"/>
    <w:rsid w:val="00287B4F"/>
    <w:rsid w:val="002A5E74"/>
    <w:rsid w:val="002F4007"/>
    <w:rsid w:val="00304DC2"/>
    <w:rsid w:val="0036119F"/>
    <w:rsid w:val="003B7C66"/>
    <w:rsid w:val="003C13F3"/>
    <w:rsid w:val="003F452F"/>
    <w:rsid w:val="00404B92"/>
    <w:rsid w:val="00404E2C"/>
    <w:rsid w:val="004C5448"/>
    <w:rsid w:val="00510938"/>
    <w:rsid w:val="0056075C"/>
    <w:rsid w:val="006A3F0C"/>
    <w:rsid w:val="006C4591"/>
    <w:rsid w:val="006F581D"/>
    <w:rsid w:val="00727EB3"/>
    <w:rsid w:val="0075299E"/>
    <w:rsid w:val="00777354"/>
    <w:rsid w:val="0078430B"/>
    <w:rsid w:val="00865CFC"/>
    <w:rsid w:val="008C036F"/>
    <w:rsid w:val="008C30FE"/>
    <w:rsid w:val="00934663"/>
    <w:rsid w:val="00996752"/>
    <w:rsid w:val="00996B9A"/>
    <w:rsid w:val="00A04396"/>
    <w:rsid w:val="00A707FF"/>
    <w:rsid w:val="00AF621D"/>
    <w:rsid w:val="00B64FEA"/>
    <w:rsid w:val="00B9737C"/>
    <w:rsid w:val="00BD5363"/>
    <w:rsid w:val="00C64E59"/>
    <w:rsid w:val="00CB5D9A"/>
    <w:rsid w:val="00CC247C"/>
    <w:rsid w:val="00CD427C"/>
    <w:rsid w:val="00CD591C"/>
    <w:rsid w:val="00CF129D"/>
    <w:rsid w:val="00D06B55"/>
    <w:rsid w:val="00D17DEA"/>
    <w:rsid w:val="00D407B7"/>
    <w:rsid w:val="00D50824"/>
    <w:rsid w:val="00E5343F"/>
    <w:rsid w:val="00E6136B"/>
    <w:rsid w:val="00E9562A"/>
    <w:rsid w:val="00EC0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7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2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Thompson</dc:creator>
  <cp:lastModifiedBy>Velvet Hardwick</cp:lastModifiedBy>
  <cp:revision>7</cp:revision>
  <dcterms:created xsi:type="dcterms:W3CDTF">2014-08-04T13:25:00Z</dcterms:created>
  <dcterms:modified xsi:type="dcterms:W3CDTF">2014-08-04T16:28:00Z</dcterms:modified>
</cp:coreProperties>
</file>